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AA" w:rsidRPr="00F05446" w:rsidRDefault="000B7B37" w:rsidP="00093104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0544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РАБО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ЧЕЕ</w:t>
      </w:r>
      <w:r>
        <w:rPr>
          <w:rStyle w:val="a7"/>
          <w:rFonts w:ascii="Arial" w:eastAsia="Times New Roman" w:hAnsi="Arial" w:cs="Arial"/>
          <w:b/>
          <w:color w:val="000000"/>
          <w:sz w:val="24"/>
          <w:szCs w:val="24"/>
          <w:lang w:eastAsia="ru-RU"/>
        </w:rPr>
        <w:footnoteReference w:id="1"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ПОЛОЖЕНИЕ О КСПГ</w:t>
      </w:r>
    </w:p>
    <w:p w:rsidR="00275154" w:rsidRPr="00275154" w:rsidRDefault="00275154" w:rsidP="0009310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Цель создания</w:t>
      </w:r>
      <w:r w:rsidR="0009310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и планируемые результаты</w:t>
      </w:r>
    </w:p>
    <w:p w:rsidR="000B7B37" w:rsidRDefault="000B7B37" w:rsidP="00CA55B3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Краевая сетевая проектная группа педагогов создана в рамках апробации ФГОС СОО. В нее входят управленцы и учителя любых предметов, работающи</w:t>
      </w:r>
      <w:r w:rsidR="006C49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8–11 классах</w:t>
      </w:r>
      <w:r w:rsidR="00682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желающие повышать уровень своей профессиональной компетен</w:t>
      </w:r>
      <w:r w:rsidR="00682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682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ности и готовые заниматься проектной деятельностью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70991" w:rsidRDefault="006C491E" w:rsidP="00CA55B3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Предпосылкой для организации КСПГ явилась деятельность краевой пр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ектной группы педагогов НОЦ, занимавшейся проектированием содержания объе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тивированной системы оценивания в 2015-16 уч. году. </w:t>
      </w:r>
    </w:p>
    <w:p w:rsidR="009A21FD" w:rsidRDefault="009A21FD" w:rsidP="00CA55B3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определении предназначения КСПГ, содержания</w:t>
      </w:r>
      <w:r w:rsid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организационных форм</w:t>
      </w:r>
      <w:r w:rsid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ожидаемых результатов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условий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 деятельности мы исходим из следу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щих фактов.</w:t>
      </w:r>
    </w:p>
    <w:p w:rsidR="006C491E" w:rsidRPr="00266B9D" w:rsidRDefault="00682064" w:rsidP="00266B9D">
      <w:pPr>
        <w:pStyle w:val="a4"/>
        <w:numPr>
          <w:ilvl w:val="0"/>
          <w:numId w:val="15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Многочисленность </w:t>
      </w:r>
      <w:r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группы </w:t>
      </w:r>
      <w:r w:rsidR="009A21FD"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позволяет определять основным предн</w:t>
      </w:r>
      <w:r w:rsidR="009A21FD"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9A21FD"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значением </w:t>
      </w:r>
      <w:proofErr w:type="spellStart"/>
      <w:r w:rsidR="009A21FD"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разработческую</w:t>
      </w:r>
      <w:proofErr w:type="spellEnd"/>
      <w:r w:rsidR="009A21FD"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деятельность.</w:t>
      </w:r>
    </w:p>
    <w:p w:rsidR="009A21FD" w:rsidRPr="00266B9D" w:rsidRDefault="009A21FD" w:rsidP="00266B9D">
      <w:pPr>
        <w:pStyle w:val="a4"/>
        <w:numPr>
          <w:ilvl w:val="0"/>
          <w:numId w:val="15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Очевидными являются задачи повышения </w:t>
      </w:r>
      <w:proofErr w:type="spellStart"/>
      <w:r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общеметодической</w:t>
      </w:r>
      <w:proofErr w:type="spellEnd"/>
      <w:r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компетентности участников КСПГ, обучения их проектным методам работы, развития у них в</w:t>
      </w:r>
      <w:r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дущих способностей проектанта, прежде всего критического мышления, рефле</w:t>
      </w:r>
      <w:r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сии, умения работать с текстами.</w:t>
      </w:r>
    </w:p>
    <w:p w:rsidR="00266B9D" w:rsidRPr="00266B9D" w:rsidRDefault="00266B9D" w:rsidP="00266B9D">
      <w:pPr>
        <w:pStyle w:val="a4"/>
        <w:numPr>
          <w:ilvl w:val="0"/>
          <w:numId w:val="15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Основным способом взаимодействия участников КСПГ являются дистанционные формы общения, эффективная организация которых требует </w:t>
      </w:r>
      <w:r w:rsidR="00682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 стороны адм</w:t>
      </w:r>
      <w:r w:rsidR="00682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682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нистрации школ </w:t>
      </w:r>
      <w:r w:rsidRP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определенных управленческих действий по созданию условий, благоприятных для педагогического проектирования.</w:t>
      </w:r>
    </w:p>
    <w:p w:rsidR="008374A1" w:rsidRDefault="008374A1" w:rsidP="00D32E09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293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Предназначение группы</w:t>
      </w:r>
      <w:r w:rsidRPr="008374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306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повышения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профессиональной компетентности участников в вопросах проектирования </w:t>
      </w:r>
      <w:r w:rsidR="00266B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учебного процесса, в том числе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педагогического </w:t>
      </w:r>
      <w:r w:rsidR="00E04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мониторинга</w:t>
      </w:r>
      <w:r w:rsidR="00F85B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E04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принципах </w:t>
      </w:r>
      <w:proofErr w:type="spellStart"/>
      <w:r w:rsidR="00E04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деятельностного</w:t>
      </w:r>
      <w:proofErr w:type="spellEnd"/>
      <w:r w:rsidR="00E04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="00E04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метапре</w:t>
      </w:r>
      <w:r w:rsidR="00E04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="00E04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метного</w:t>
      </w:r>
      <w:proofErr w:type="spellEnd"/>
      <w:r w:rsidR="00E04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подходов. </w:t>
      </w:r>
    </w:p>
    <w:p w:rsidR="00093104" w:rsidRDefault="00093104" w:rsidP="00D32E09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Основные задачи участников</w:t>
      </w:r>
      <w:r w:rsidRPr="000931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93104" w:rsidRPr="00093104" w:rsidRDefault="00093104" w:rsidP="00093104">
      <w:pPr>
        <w:pStyle w:val="a4"/>
        <w:numPr>
          <w:ilvl w:val="0"/>
          <w:numId w:val="26"/>
        </w:num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931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93104" w:rsidRDefault="00093104" w:rsidP="00093104">
      <w:pPr>
        <w:pStyle w:val="a4"/>
        <w:numPr>
          <w:ilvl w:val="0"/>
          <w:numId w:val="26"/>
        </w:num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учебно-дидактических и нормативных материалов;</w:t>
      </w:r>
    </w:p>
    <w:p w:rsidR="00093104" w:rsidRDefault="00093104" w:rsidP="00093104">
      <w:pPr>
        <w:pStyle w:val="a4"/>
        <w:numPr>
          <w:ilvl w:val="0"/>
          <w:numId w:val="26"/>
        </w:num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опыта работы.</w:t>
      </w:r>
    </w:p>
    <w:p w:rsidR="00E04915" w:rsidRDefault="008374A1" w:rsidP="00CB5BBA">
      <w:pPr>
        <w:pStyle w:val="a4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293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Основной результат</w:t>
      </w:r>
      <w:r w:rsidR="00E04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E04915" w:rsidRDefault="00E04915" w:rsidP="004B0319">
      <w:pPr>
        <w:pStyle w:val="a4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когнитивном аспекте</w:t>
      </w:r>
      <w:r w:rsidR="008374A1" w:rsidRPr="008374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306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устойчивые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об учебном процессе</w:t>
      </w:r>
      <w:r w:rsidR="00306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выстроенном в соответствии с требованиями ФГОС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тех проектных зад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чах, которые следует решать учителю для реализации </w:t>
      </w:r>
      <w:proofErr w:type="spellStart"/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деятельностн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proofErr w:type="spellEnd"/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proofErr w:type="spellStart"/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метапредметного</w:t>
      </w:r>
      <w:proofErr w:type="spellEnd"/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подхода</w:t>
      </w:r>
      <w:r w:rsidR="003061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061FC" w:rsidRDefault="003061FC" w:rsidP="004B0319">
      <w:pPr>
        <w:pStyle w:val="a4"/>
        <w:numPr>
          <w:ilvl w:val="0"/>
          <w:numId w:val="1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деятельностном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аспекте – </w:t>
      </w:r>
      <w:r w:rsidR="004B03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развитие проектных способностей, в том числе критического и рефлексивного мышления;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</w:t>
      </w:r>
      <w:r w:rsidR="004B03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6277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высоком уровне </w:t>
      </w:r>
      <w:r w:rsidR="006277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</w:t>
      </w:r>
      <w:r w:rsidR="006277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6277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версальных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="004B03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пособов мыслительной деятельности; развитие умения прод</w:t>
      </w:r>
      <w:r w:rsidR="004B03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4B03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цировать 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грамотные </w:t>
      </w:r>
      <w:r w:rsidR="004B03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дидактические, методические, нормативные тексты.</w:t>
      </w:r>
    </w:p>
    <w:p w:rsidR="008374A1" w:rsidRDefault="004B0319" w:rsidP="00871AB8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293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Основной продукт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готовые к трансляции дидактические, методические, 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мативные материалы</w:t>
      </w:r>
      <w:r w:rsidR="008374A1" w:rsidRPr="008374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описывающие различные аспекты </w:t>
      </w:r>
      <w:r w:rsidR="00034C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проектирования уче</w:t>
      </w:r>
      <w:r w:rsidR="00034C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="00034C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ного процесса в 8–11 классах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</w:t>
      </w:r>
      <w:r w:rsidR="00034C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требованиям</w:t>
      </w:r>
      <w:r w:rsidR="00034C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ФГОС</w:t>
      </w:r>
      <w:r w:rsidR="008374A1" w:rsidRPr="008374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3104" w:rsidRPr="00093104" w:rsidRDefault="00093104" w:rsidP="00871AB8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lastRenderedPageBreak/>
        <w:t>Конкретизация результатов в соответствии с задачами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03"/>
        <w:gridCol w:w="3167"/>
        <w:gridCol w:w="4614"/>
      </w:tblGrid>
      <w:tr w:rsidR="00093104" w:rsidRPr="00170AC7" w:rsidTr="00B07AC5">
        <w:tc>
          <w:tcPr>
            <w:tcW w:w="1903" w:type="dxa"/>
          </w:tcPr>
          <w:p w:rsidR="00093104" w:rsidRPr="00170AC7" w:rsidRDefault="00093104" w:rsidP="00B07AC5">
            <w:pPr>
              <w:spacing w:before="120"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167" w:type="dxa"/>
          </w:tcPr>
          <w:p w:rsidR="00093104" w:rsidRPr="00170AC7" w:rsidRDefault="00093104" w:rsidP="00B07AC5">
            <w:pPr>
              <w:spacing w:before="120"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70AC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4614" w:type="dxa"/>
          </w:tcPr>
          <w:p w:rsidR="00093104" w:rsidRPr="00170AC7" w:rsidRDefault="00093104" w:rsidP="00B07AC5">
            <w:pPr>
              <w:spacing w:before="120"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70AC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  <w:t>Возможные продукты</w:t>
            </w:r>
          </w:p>
        </w:tc>
      </w:tr>
      <w:tr w:rsidR="00093104" w:rsidTr="00093104">
        <w:tc>
          <w:tcPr>
            <w:tcW w:w="1903" w:type="dxa"/>
            <w:vAlign w:val="center"/>
          </w:tcPr>
          <w:p w:rsidR="00093104" w:rsidRDefault="00093104" w:rsidP="00B07AC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Обучение</w:t>
            </w:r>
          </w:p>
        </w:tc>
        <w:tc>
          <w:tcPr>
            <w:tcW w:w="3167" w:type="dxa"/>
          </w:tcPr>
          <w:p w:rsidR="00093104" w:rsidRDefault="00093104" w:rsidP="00B07AC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Профессиональный рост: повышение методической подготовки, освоение эффективных педагог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ческих средств</w:t>
            </w:r>
          </w:p>
        </w:tc>
        <w:tc>
          <w:tcPr>
            <w:tcW w:w="4614" w:type="dxa"/>
            <w:vAlign w:val="center"/>
          </w:tcPr>
          <w:p w:rsidR="00093104" w:rsidRPr="007E23AD" w:rsidRDefault="00093104" w:rsidP="00093104">
            <w:pPr>
              <w:pStyle w:val="a4"/>
              <w:numPr>
                <w:ilvl w:val="0"/>
                <w:numId w:val="20"/>
              </w:numPr>
              <w:ind w:left="317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Учебные</w:t>
            </w:r>
            <w:r>
              <w:rPr>
                <w:rStyle w:val="a7"/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footnoteReference w:id="2"/>
            </w: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разработки</w:t>
            </w:r>
          </w:p>
          <w:p w:rsidR="00093104" w:rsidRPr="007E23AD" w:rsidRDefault="00093104" w:rsidP="00093104">
            <w:pPr>
              <w:pStyle w:val="a4"/>
              <w:numPr>
                <w:ilvl w:val="0"/>
                <w:numId w:val="20"/>
              </w:numPr>
              <w:ind w:left="317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Рефлексивные тексты</w:t>
            </w:r>
          </w:p>
          <w:p w:rsidR="00093104" w:rsidRPr="007E23AD" w:rsidRDefault="00093104" w:rsidP="00093104">
            <w:pPr>
              <w:pStyle w:val="a4"/>
              <w:numPr>
                <w:ilvl w:val="0"/>
                <w:numId w:val="20"/>
              </w:numPr>
              <w:ind w:left="317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 деятельности</w:t>
            </w:r>
          </w:p>
          <w:p w:rsidR="00093104" w:rsidRPr="007E23AD" w:rsidRDefault="00093104" w:rsidP="00093104">
            <w:pPr>
              <w:pStyle w:val="a4"/>
              <w:numPr>
                <w:ilvl w:val="0"/>
                <w:numId w:val="20"/>
              </w:numPr>
              <w:ind w:left="317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</w:tr>
      <w:tr w:rsidR="00093104" w:rsidTr="00093104">
        <w:tc>
          <w:tcPr>
            <w:tcW w:w="1903" w:type="dxa"/>
            <w:vAlign w:val="center"/>
          </w:tcPr>
          <w:p w:rsidR="00093104" w:rsidRDefault="00093104" w:rsidP="00B07AC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Реальные</w:t>
            </w:r>
            <w:r>
              <w:rPr>
                <w:rStyle w:val="a7"/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footnoteReference w:id="3"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разработки</w:t>
            </w:r>
          </w:p>
        </w:tc>
        <w:tc>
          <w:tcPr>
            <w:tcW w:w="3167" w:type="dxa"/>
            <w:vAlign w:val="center"/>
          </w:tcPr>
          <w:p w:rsidR="00093104" w:rsidRDefault="00093104" w:rsidP="00093104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качества нормативного и учебно-дидактического обесп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чения учебного процесса</w:t>
            </w:r>
          </w:p>
        </w:tc>
        <w:tc>
          <w:tcPr>
            <w:tcW w:w="4614" w:type="dxa"/>
          </w:tcPr>
          <w:p w:rsidR="00093104" w:rsidRPr="007E23AD" w:rsidRDefault="00093104" w:rsidP="00B07AC5">
            <w:pPr>
              <w:pStyle w:val="a4"/>
              <w:numPr>
                <w:ilvl w:val="0"/>
                <w:numId w:val="21"/>
              </w:numPr>
              <w:ind w:left="317" w:hanging="31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Документы, нормирующие учебный процесс: учебные программы, т</w:t>
            </w: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матическое планирование, нормы оценивания в рамках ОСО. </w:t>
            </w:r>
          </w:p>
          <w:p w:rsidR="00093104" w:rsidRPr="007E23AD" w:rsidRDefault="00093104" w:rsidP="00B07AC5">
            <w:pPr>
              <w:pStyle w:val="a4"/>
              <w:numPr>
                <w:ilvl w:val="0"/>
                <w:numId w:val="21"/>
              </w:numPr>
              <w:ind w:left="317" w:hanging="31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Учебно-дидактические материалы, в т.ч. </w:t>
            </w:r>
            <w:proofErr w:type="spellStart"/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КИМы</w:t>
            </w:r>
            <w:proofErr w:type="spellEnd"/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параметры и кр</w:t>
            </w: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терии оценивания некоторых об</w:t>
            </w: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7E23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ектов оценивания.</w:t>
            </w:r>
          </w:p>
        </w:tc>
      </w:tr>
      <w:tr w:rsidR="00093104" w:rsidTr="00B07AC5">
        <w:tc>
          <w:tcPr>
            <w:tcW w:w="1903" w:type="dxa"/>
            <w:vAlign w:val="center"/>
          </w:tcPr>
          <w:p w:rsidR="00093104" w:rsidRDefault="00093104" w:rsidP="00B07AC5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Описание опыта работы</w:t>
            </w:r>
          </w:p>
        </w:tc>
        <w:tc>
          <w:tcPr>
            <w:tcW w:w="3167" w:type="dxa"/>
          </w:tcPr>
          <w:p w:rsidR="00093104" w:rsidRDefault="00093104" w:rsidP="00B07AC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Профессиональный рост: повышение методолог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ческой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осредствленности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освоение проектных 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тодов работы, развитие рефлексии, критического мышления</w:t>
            </w:r>
          </w:p>
        </w:tc>
        <w:tc>
          <w:tcPr>
            <w:tcW w:w="4614" w:type="dxa"/>
          </w:tcPr>
          <w:p w:rsidR="00093104" w:rsidRDefault="00093104" w:rsidP="00B07AC5">
            <w:pPr>
              <w:pStyle w:val="a4"/>
              <w:numPr>
                <w:ilvl w:val="0"/>
                <w:numId w:val="22"/>
              </w:numPr>
              <w:shd w:val="clear" w:color="auto" w:fill="FFFFFF"/>
              <w:spacing w:line="276" w:lineRule="auto"/>
              <w:ind w:left="317" w:hanging="31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Методические рекомендации по 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пользованию апробированных сп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собов работы, в том числе учебно-дидактических материалов.</w:t>
            </w:r>
          </w:p>
          <w:p w:rsidR="00093104" w:rsidRPr="00170AC7" w:rsidRDefault="00093104" w:rsidP="00B07AC5">
            <w:pPr>
              <w:pStyle w:val="a4"/>
              <w:numPr>
                <w:ilvl w:val="0"/>
                <w:numId w:val="22"/>
              </w:numPr>
              <w:spacing w:line="276" w:lineRule="auto"/>
              <w:ind w:left="317" w:hanging="31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0A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Научные статьи по различным в</w:t>
            </w:r>
            <w:r w:rsidRPr="00170A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170A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просам содержания и организации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0A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учебного процесса в 8–11 классах.</w:t>
            </w:r>
          </w:p>
        </w:tc>
      </w:tr>
    </w:tbl>
    <w:p w:rsidR="007338C8" w:rsidRDefault="007338C8" w:rsidP="007338C8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3104" w:rsidRPr="007338C8" w:rsidRDefault="00764D79" w:rsidP="00C61B8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Содержание и </w:t>
      </w:r>
      <w:r w:rsidRPr="0027515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организация </w:t>
      </w:r>
      <w:r w:rsidR="00093104" w:rsidRPr="0027515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работы</w:t>
      </w:r>
    </w:p>
    <w:p w:rsidR="00330A6E" w:rsidRDefault="00AA736D" w:rsidP="00330A6E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перехода к преподаванию на принципах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метапредметного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подхода учителям необходимо:</w:t>
      </w:r>
      <w:r w:rsidR="00330A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1) хорошо усвоить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</w:t>
      </w:r>
      <w:r w:rsidR="00330A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теоретически</w:t>
      </w:r>
      <w:r w:rsidR="00330A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поняти</w:t>
      </w:r>
      <w:r w:rsidR="00330A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="00330A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2) реализовать основные проектные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задач</w:t>
      </w:r>
      <w:r w:rsidR="00330A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330A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скомпонова</w:t>
      </w:r>
      <w:r w:rsidR="00330A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="00330A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ные в четыре блока. Описание этих понятий и перечень проектных задач дается изначально. Работа участников КСПГ выражается в постепенном изучении этих понятий и последовательном воплощении проектных задач. </w:t>
      </w:r>
    </w:p>
    <w:p w:rsidR="00314FFD" w:rsidRDefault="00314FFD" w:rsidP="00330A6E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учителей в составе КСПГ рассматривается как выполнение их фун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ционала в отношении методической работы; они должны быть освобождены от необходимости вести еще какую-либо методическую работу в рамках общешкол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методической темы. </w:t>
      </w:r>
    </w:p>
    <w:p w:rsidR="00330A6E" w:rsidRDefault="00330A6E" w:rsidP="00330A6E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Содержание, темп, степень самостоятельности, интенсивность и продукти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ность своей работы каждым участником КСПГ определяется индивидуально. </w:t>
      </w:r>
      <w:r w:rsidR="00DA5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 проектной работе очень важным является, с одной стороны, коллегиальное обсу</w:t>
      </w:r>
      <w:r w:rsidR="00DA5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="00DA5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дение, с другой стороны, конкретизация задач и сроков выполнения. Поэтому и</w:t>
      </w:r>
      <w:r w:rsidR="00DA5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DA5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пользуется </w:t>
      </w:r>
      <w:r w:rsidR="00AF5F15" w:rsidRPr="000E4A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поэтапная </w:t>
      </w:r>
      <w:r w:rsidR="00DA5879" w:rsidRPr="000E4AB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модель организации работы</w:t>
      </w:r>
      <w:r w:rsidR="00DA5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КСПГ</w:t>
      </w:r>
      <w:r w:rsidR="00AF5F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которой длител</w:t>
      </w:r>
      <w:r w:rsidR="00AF5F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="00AF5F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ность каждого этапа совпадает с учебной</w:t>
      </w:r>
      <w:r w:rsidR="00AF5F15" w:rsidRPr="00AF5F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5F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четвертью</w:t>
      </w:r>
      <w:r w:rsidR="00DA5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A5879" w:rsidRDefault="00DA5879" w:rsidP="00330A6E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началу каждых каникул, т.е. четыре раза в год, научный руководитель гот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 пакет материалов, регулирующих деятельность педагогов.</w:t>
      </w:r>
      <w:r w:rsidRPr="00807C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каждой школе есть координатор, организующий совместную работу учителей и обеспечивающий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ее продуктивность. Результаты каникулярной работы учителей должны поступить научному руководителю в течение месяца с начала новой четверти, чтобы можно было успеть подготовить анализ продуктов к следующим каникулам.</w:t>
      </w:r>
    </w:p>
    <w:p w:rsidR="00AF5F15" w:rsidRDefault="00AF5F15" w:rsidP="00330A6E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первых этапов является общим для всех:</w:t>
      </w:r>
    </w:p>
    <w:p w:rsidR="00AF5F15" w:rsidRPr="00C61B83" w:rsidRDefault="00AF5F15" w:rsidP="00312A33">
      <w:pPr>
        <w:pStyle w:val="a4"/>
        <w:numPr>
          <w:ilvl w:val="0"/>
          <w:numId w:val="29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этап (зима 2017) – изучение текстов, описывающих теоретические понятия; самоопределение относительно проектных задач, которые необходимо решить при переходе к </w:t>
      </w:r>
      <w:proofErr w:type="spellStart"/>
      <w:r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деятельностной</w:t>
      </w:r>
      <w:proofErr w:type="spellEnd"/>
      <w:r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парадигме.</w:t>
      </w:r>
    </w:p>
    <w:p w:rsidR="00AF5F15" w:rsidRPr="00C61B83" w:rsidRDefault="00AF5F15" w:rsidP="00312A33">
      <w:pPr>
        <w:pStyle w:val="a4"/>
        <w:numPr>
          <w:ilvl w:val="0"/>
          <w:numId w:val="29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 этап </w:t>
      </w:r>
      <w:r w:rsid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(весна 2017) </w:t>
      </w:r>
      <w:r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работа с понятиями «Техническое задание» и «Параметры и критерии оценивания».</w:t>
      </w:r>
    </w:p>
    <w:p w:rsidR="00AF5F15" w:rsidRPr="00C61B83" w:rsidRDefault="00AF5F15" w:rsidP="00312A33">
      <w:pPr>
        <w:pStyle w:val="a4"/>
        <w:numPr>
          <w:ilvl w:val="0"/>
          <w:numId w:val="29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 этап </w:t>
      </w:r>
      <w:r w:rsid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(лето 2017) </w:t>
      </w:r>
      <w:r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знакомство с требованиями к дидактическим </w:t>
      </w:r>
      <w:r w:rsidR="00C61B83"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методич</w:t>
      </w:r>
      <w:r w:rsidR="00C61B83"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C61B83"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ским </w:t>
      </w:r>
      <w:r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разработкам</w:t>
      </w:r>
      <w:r w:rsidR="00C61B83" w:rsidRPr="00C61B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61B83" w:rsidRPr="00AA736D" w:rsidRDefault="00C61B83" w:rsidP="00C61B83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на последующих этапах дифференцируется и индивидуализируется; ее содержание определятся для каждого участника с учетом выполнения заданий предыдущих этапов.</w:t>
      </w:r>
    </w:p>
    <w:p w:rsidR="00034CAA" w:rsidRPr="00034CAA" w:rsidRDefault="00034CAA" w:rsidP="00F33124">
      <w:pPr>
        <w:pStyle w:val="a4"/>
        <w:numPr>
          <w:ilvl w:val="0"/>
          <w:numId w:val="8"/>
        </w:numPr>
        <w:shd w:val="clear" w:color="auto" w:fill="FFFFFF"/>
        <w:spacing w:before="120"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41C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Способ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ы взаимодействия. 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Содержательная работа ведется следующими сп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собами. </w:t>
      </w:r>
    </w:p>
    <w:p w:rsidR="00C71B1C" w:rsidRDefault="00034CAA" w:rsidP="00C71B1C">
      <w:pPr>
        <w:pStyle w:val="a4"/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374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</w:t>
      </w:r>
      <w:proofErr w:type="gramEnd"/>
      <w:r w:rsidRPr="008374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374A1" w:rsidRPr="008374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работа с текстами</w:t>
      </w:r>
      <w:r w:rsidR="0048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Учителя</w:t>
      </w:r>
      <w:r w:rsidR="0048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внимательно читают и анализируют </w:t>
      </w:r>
      <w:r w:rsidR="000D57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предоставленные научным руководителем </w:t>
      </w:r>
      <w:r w:rsidR="0048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="0048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48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8293F" w:rsidRPr="008374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етом</w:t>
      </w:r>
      <w:r w:rsidR="0048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получен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</w:t>
      </w:r>
      <w:r w:rsidR="00482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формации разрабатывают собственные</w:t>
      </w:r>
      <w:r w:rsidR="0048293F" w:rsidRPr="008374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текст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 и высылают научному р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ководителю для анализа</w:t>
      </w:r>
      <w:r w:rsidR="0048293F" w:rsidRPr="008374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Наиболее интересные работы комментируются и высылаются обратно. 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Учителя, к чьим текстам были сделаны комментарии, обязаны прислать ответ: внести требуемые изменения, ответить на вопросы, задать свои вопросы, если что-то непонятно.</w:t>
      </w:r>
      <w:r w:rsidR="00742542" w:rsidRP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Содержательная переписка учителей с научным руководителем </w:t>
      </w:r>
      <w:r w:rsid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оформляется в виде обучающих и </w:t>
      </w:r>
      <w:proofErr w:type="spellStart"/>
      <w:r w:rsid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</w:t>
      </w:r>
      <w:r w:rsid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нинговых</w:t>
      </w:r>
      <w:proofErr w:type="spellEnd"/>
      <w:r w:rsid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материалов и 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выкладывается на портале</w:t>
      </w:r>
      <w:r w:rsidR="009B35D0" w:rsidRPr="009B35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35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апробации ФГОС СОО</w:t>
      </w:r>
      <w:bookmarkStart w:id="0" w:name="_GoBack"/>
      <w:bookmarkEnd w:id="0"/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71B1C" w:rsidRDefault="00B21E45" w:rsidP="00C71B1C">
      <w:pPr>
        <w:pStyle w:val="a4"/>
        <w:numPr>
          <w:ilvl w:val="0"/>
          <w:numId w:val="16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Удобнее всего использовать скайп. </w:t>
      </w:r>
      <w:r w:rsidR="00C71B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Инициаторами встреч в скайпе являются школы или отдельные педагоги. Для этого нужно послать заявку методологу на электронную почту. По конкретным вопросам можно обращаться также письменно на почту или по телефону 89091093316.</w:t>
      </w:r>
      <w:r w:rsidRPr="00B21E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чество консультаций не ограничивается.</w:t>
      </w:r>
    </w:p>
    <w:p w:rsidR="008374A1" w:rsidRDefault="00C71B1C" w:rsidP="00314FFD">
      <w:pPr>
        <w:pStyle w:val="a4"/>
        <w:numPr>
          <w:ilvl w:val="0"/>
          <w:numId w:val="16"/>
        </w:numPr>
        <w:shd w:val="clear" w:color="auto" w:fill="FFFFFF"/>
        <w:spacing w:before="120" w:after="120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Очные встречи. </w:t>
      </w:r>
      <w:r w:rsidR="00A9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 планируются два семинара и одна конф</w:t>
      </w:r>
      <w:r w:rsidR="00A9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A9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ренция. Дополнительные встречи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могут быть либо в рамках курсовой подг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товки, либо на семинарах, организуемых шко</w:t>
      </w:r>
      <w:r w:rsidR="00A92D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лами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 </w:t>
      </w:r>
    </w:p>
    <w:p w:rsidR="006D5B32" w:rsidRDefault="006D5B32" w:rsidP="00314FFD">
      <w:pPr>
        <w:pStyle w:val="a4"/>
        <w:shd w:val="clear" w:color="auto" w:fill="FFFFFF"/>
        <w:spacing w:before="120" w:after="0" w:line="240" w:lineRule="auto"/>
        <w:ind w:left="71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30D0" w:rsidRDefault="00B030D0" w:rsidP="00314FFD">
      <w:pPr>
        <w:pStyle w:val="a4"/>
        <w:numPr>
          <w:ilvl w:val="0"/>
          <w:numId w:val="19"/>
        </w:numPr>
        <w:shd w:val="clear" w:color="auto" w:fill="FFFFFF"/>
        <w:spacing w:before="120"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FE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Научно-методическое сопровождение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030D0" w:rsidRDefault="00B030D0" w:rsidP="00B030D0">
      <w:pPr>
        <w:pStyle w:val="a4"/>
        <w:numPr>
          <w:ilvl w:val="0"/>
          <w:numId w:val="23"/>
        </w:numPr>
        <w:shd w:val="clear" w:color="auto" w:fill="FFFFFF"/>
        <w:spacing w:before="12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регулярно пополняющийся банк методических, обучающих, рефлексивных материалов; </w:t>
      </w:r>
    </w:p>
    <w:p w:rsidR="00B030D0" w:rsidRDefault="00B030D0" w:rsidP="00B030D0">
      <w:pPr>
        <w:pStyle w:val="a4"/>
        <w:numPr>
          <w:ilvl w:val="0"/>
          <w:numId w:val="23"/>
        </w:numPr>
        <w:shd w:val="clear" w:color="auto" w:fill="FFFFFF"/>
        <w:spacing w:before="120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работа с текстами учителей – анализ, </w:t>
      </w:r>
      <w:r w:rsidR="00742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комментирование,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редактирование;</w:t>
      </w:r>
    </w:p>
    <w:p w:rsidR="00B030D0" w:rsidRDefault="00B030D0" w:rsidP="00314FFD">
      <w:pPr>
        <w:pStyle w:val="a4"/>
        <w:numPr>
          <w:ilvl w:val="0"/>
          <w:numId w:val="23"/>
        </w:numPr>
        <w:shd w:val="clear" w:color="auto" w:fill="FFFFFF"/>
        <w:spacing w:before="120"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в очном и дистанционном режимах.</w:t>
      </w:r>
    </w:p>
    <w:p w:rsidR="00B030D0" w:rsidRDefault="00B030D0" w:rsidP="00B030D0">
      <w:pPr>
        <w:pStyle w:val="a4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Управленческое сопровождение</w:t>
      </w:r>
      <w:r w:rsidRPr="00957FEF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школ, заявивших своих педаг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гов для работы в КСПГ, берет на себя обязательства создавать благоприятные условия для проектной деятельности, в частности,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создавать рабочую атмосф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 в каникулярное время.</w:t>
      </w:r>
      <w:r w:rsidRPr="00312A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030D0" w:rsidRDefault="00B030D0" w:rsidP="00314F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E4AB4" w:rsidRPr="00314FFD" w:rsidRDefault="000E4AB4" w:rsidP="00314FFD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314FF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lastRenderedPageBreak/>
        <w:t xml:space="preserve">Формирование группы и </w:t>
      </w:r>
      <w:r w:rsidR="00314FFD" w:rsidRPr="00314FF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изменение состава</w:t>
      </w:r>
    </w:p>
    <w:p w:rsidR="000E4AB4" w:rsidRDefault="000E4AB4" w:rsidP="00314FFD">
      <w:pPr>
        <w:shd w:val="clear" w:color="auto" w:fill="FFFFFF"/>
        <w:spacing w:after="0"/>
        <w:ind w:left="284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Изначально (2016 год) педагоги вошли в состав КСПГ на основании офиц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альной заявки директоров школ.</w:t>
      </w:r>
      <w:r w:rsidR="001565D6" w:rsidRP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030D0" w:rsidRP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 КСПГ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был </w:t>
      </w:r>
      <w:r w:rsidR="00B030D0" w:rsidRP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</w:t>
      </w:r>
      <w:r w:rsidR="00B030D0" w:rsidRP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приказом Мин</w:t>
      </w:r>
      <w:r w:rsidR="00B030D0" w:rsidRP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B030D0" w:rsidRP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стерства образования и науки ПК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030D0" w:rsidRPr="000E4AB4" w:rsidRDefault="000E4AB4" w:rsidP="00314FFD">
      <w:pPr>
        <w:shd w:val="clear" w:color="auto" w:fill="FFFFFF"/>
        <w:spacing w:after="0"/>
        <w:ind w:left="284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Наличие пакета теоретических, обучающих,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тренинговых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организационных материалов, полностью описывающих </w:t>
      </w:r>
      <w:r w:rsidR="007324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возможную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</w:t>
      </w:r>
      <w:r w:rsidR="007324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учителей в ра</w:t>
      </w:r>
      <w:r w:rsidR="007324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7324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ках КСПГ, позволяет подключаться к работе в любой момент. С другой стороны, дистанционная работа в проектном режиме может оказаться для кого-то сли</w:t>
      </w:r>
      <w:r w:rsidR="007324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</w:t>
      </w:r>
      <w:r w:rsidR="007324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 сложной. Поэтому при необходимости предполагается</w:t>
      </w:r>
      <w:r w:rsidR="00732417" w:rsidRP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030D0" w:rsidRP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обновле</w:t>
      </w:r>
      <w:r w:rsidR="007324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 состава КСПГ в декабре каждого года</w:t>
      </w:r>
      <w:r w:rsidR="00B030D0" w:rsidRPr="000E4A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030D0" w:rsidRPr="00B030D0" w:rsidRDefault="00732417" w:rsidP="00314FFD">
      <w:pPr>
        <w:shd w:val="clear" w:color="auto" w:fill="FFFFFF"/>
        <w:spacing w:after="0"/>
        <w:ind w:left="284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вхождения в состав КСПГ требуется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официальная заявка директора школы, высланная сканированным документом на электронный адрес отдела РОС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ЦРО ПК, и</w:t>
      </w:r>
      <w:r w:rsidRPr="00B030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собе</w:t>
      </w:r>
      <w:r w:rsidR="00B030D0" w:rsidRPr="00B030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седование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претендента </w:t>
      </w:r>
      <w:r w:rsidR="00B030D0" w:rsidRPr="00B030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очное или в скайпе – с научным руководителем.</w:t>
      </w:r>
    </w:p>
    <w:p w:rsidR="001565D6" w:rsidRPr="00B030D0" w:rsidRDefault="00B030D0" w:rsidP="00314FFD">
      <w:pPr>
        <w:shd w:val="clear" w:color="auto" w:fill="FFFFFF"/>
        <w:spacing w:after="0"/>
        <w:ind w:left="284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30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Выход </w:t>
      </w:r>
      <w:r w:rsidR="001565D6" w:rsidRPr="00B030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 состава КСПГ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происходит по инициативе </w:t>
      </w:r>
      <w:r w:rsidR="00764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самого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участника, </w:t>
      </w:r>
      <w:r w:rsidR="00764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научного руководителя</w:t>
      </w:r>
      <w:r w:rsidR="00764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невыполнения учителем в течение года обязательных заданий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Для исключения учителя из списка, утвержденного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нистерством, требуется </w:t>
      </w:r>
      <w:r w:rsidRPr="00B030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официальное заявление администрации школы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0B5CBC" w:rsidRPr="00314FFD" w:rsidRDefault="00314FFD" w:rsidP="00957FEF">
      <w:pPr>
        <w:pStyle w:val="a4"/>
        <w:numPr>
          <w:ilvl w:val="0"/>
          <w:numId w:val="19"/>
        </w:numPr>
        <w:shd w:val="clear" w:color="auto" w:fill="FFFFFF"/>
        <w:spacing w:before="120" w:after="0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14FF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Дифференциация участников </w:t>
      </w:r>
    </w:p>
    <w:p w:rsidR="000B5CBC" w:rsidRPr="003C3927" w:rsidRDefault="000B5CBC" w:rsidP="000B5CBC">
      <w:pPr>
        <w:shd w:val="clear" w:color="auto" w:fill="FFFFFF"/>
        <w:spacing w:after="120"/>
        <w:ind w:left="284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3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участники имеют равный доступ к материалам, предоставляемым нау</w:t>
      </w:r>
      <w:r w:rsidRPr="003C3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3C3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ным руководителем, равную возможность представлять свои наработки</w:t>
      </w:r>
      <w:r w:rsidR="00312A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пол</w:t>
      </w:r>
      <w:r w:rsidR="00312A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312A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чать консультации научного руководителя</w:t>
      </w:r>
      <w:r w:rsidRPr="003C3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зависимости от содержания и кач</w:t>
      </w:r>
      <w:r w:rsidRPr="003C3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3C3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ства представляемых текстов выделяется три группы участников КСПГ: </w:t>
      </w:r>
    </w:p>
    <w:p w:rsidR="000B5CBC" w:rsidRDefault="000B5CBC" w:rsidP="000B5CBC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Участники, не присылающие свои тексты или присылающие тексты, не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ходящие для создания учебных материалов для общего обозрения. Их раб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 в группе может быть очень результативной в плане профессионального роста и даже продуктивной, но свои продукты (дидактические материалы, нормативные документы, методические тексты для аттестации и т.д.) они, во-первых, разрабатывают без непосредственного участия научного руков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дителя, во-вторых, не транслируют другим. Поощряются за работу только на институциональном уровне. </w:t>
      </w:r>
    </w:p>
    <w:p w:rsidR="000B5CBC" w:rsidRDefault="000B5CBC" w:rsidP="000B5CBC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Участники, представляющие разработки, которые становятся учебными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териалами для других, и/или рефлексивные тексты, свидетельствующие об очевидном профессиональном росте. Поощряются один-два раза в год се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тификатами регионального уровня. </w:t>
      </w:r>
    </w:p>
    <w:p w:rsidR="000B5CBC" w:rsidRDefault="000B5CBC" w:rsidP="000B5CBC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Участники, представляющие тексты, готовые к трансляции. Поощряются сертификатами регионального уровня и возможностью бесплатной публик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ции в </w:t>
      </w:r>
      <w:r w:rsidRPr="00A5366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r w:rsidRPr="00A536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Вестник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A536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 Пермского края</w:t>
      </w:r>
      <w:r w:rsidRPr="00A5366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sectPr w:rsidR="000B5CBC" w:rsidSect="007F63E7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EC" w:rsidRDefault="00581FEC" w:rsidP="000B7B37">
      <w:pPr>
        <w:spacing w:after="0" w:line="240" w:lineRule="auto"/>
      </w:pPr>
      <w:r>
        <w:separator/>
      </w:r>
    </w:p>
  </w:endnote>
  <w:endnote w:type="continuationSeparator" w:id="0">
    <w:p w:rsidR="00581FEC" w:rsidRDefault="00581FEC" w:rsidP="000B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EC" w:rsidRDefault="00581FEC" w:rsidP="000B7B37">
      <w:pPr>
        <w:spacing w:after="0" w:line="240" w:lineRule="auto"/>
      </w:pPr>
      <w:r>
        <w:separator/>
      </w:r>
    </w:p>
  </w:footnote>
  <w:footnote w:type="continuationSeparator" w:id="0">
    <w:p w:rsidR="00581FEC" w:rsidRDefault="00581FEC" w:rsidP="000B7B37">
      <w:pPr>
        <w:spacing w:after="0" w:line="240" w:lineRule="auto"/>
      </w:pPr>
      <w:r>
        <w:continuationSeparator/>
      </w:r>
    </w:p>
  </w:footnote>
  <w:footnote w:id="1">
    <w:p w:rsidR="007F63E7" w:rsidRPr="000B7B37" w:rsidRDefault="007F63E7" w:rsidP="00C409B6">
      <w:pPr>
        <w:pStyle w:val="a5"/>
        <w:ind w:left="142" w:hanging="142"/>
        <w:jc w:val="both"/>
        <w:rPr>
          <w:rFonts w:ascii="Arial" w:hAnsi="Arial" w:cs="Arial"/>
        </w:rPr>
      </w:pPr>
      <w:r>
        <w:rPr>
          <w:rStyle w:val="a7"/>
        </w:rPr>
        <w:footnoteRef/>
      </w:r>
      <w:r>
        <w:t xml:space="preserve"> </w:t>
      </w:r>
      <w:r w:rsidRPr="000B7B37">
        <w:rPr>
          <w:rFonts w:ascii="Arial" w:hAnsi="Arial" w:cs="Arial"/>
        </w:rPr>
        <w:t>Подчеркивается, что 1) данный текст не является официальным нормативным документом; 2) он может быть изменен.</w:t>
      </w:r>
    </w:p>
  </w:footnote>
  <w:footnote w:id="2">
    <w:p w:rsidR="00093104" w:rsidRPr="00CB5BBA" w:rsidRDefault="00093104" w:rsidP="00093104">
      <w:pPr>
        <w:pStyle w:val="a5"/>
        <w:jc w:val="both"/>
        <w:rPr>
          <w:rFonts w:ascii="Arial" w:hAnsi="Arial" w:cs="Arial"/>
        </w:rPr>
      </w:pPr>
      <w:r w:rsidRPr="00CB5BBA">
        <w:rPr>
          <w:rStyle w:val="a7"/>
          <w:rFonts w:ascii="Arial" w:hAnsi="Arial" w:cs="Arial"/>
        </w:rPr>
        <w:footnoteRef/>
      </w:r>
      <w:r w:rsidRPr="00CB5BBA">
        <w:rPr>
          <w:rFonts w:ascii="Arial" w:hAnsi="Arial" w:cs="Arial"/>
        </w:rPr>
        <w:t xml:space="preserve"> Учебными являются разработки, не готовые пока к использованию</w:t>
      </w:r>
      <w:r w:rsidRPr="00CB5BBA">
        <w:rPr>
          <w:rFonts w:ascii="Arial" w:hAnsi="Arial" w:cs="Arial"/>
          <w:i/>
        </w:rPr>
        <w:t xml:space="preserve"> </w:t>
      </w:r>
      <w:r w:rsidRPr="00CB5BBA">
        <w:rPr>
          <w:rFonts w:ascii="Arial" w:hAnsi="Arial" w:cs="Arial"/>
        </w:rPr>
        <w:t>в учебном процессе.</w:t>
      </w:r>
    </w:p>
  </w:footnote>
  <w:footnote w:id="3">
    <w:p w:rsidR="00093104" w:rsidRDefault="00093104" w:rsidP="00093104">
      <w:pPr>
        <w:pStyle w:val="a5"/>
      </w:pPr>
      <w:r>
        <w:rPr>
          <w:rStyle w:val="a7"/>
        </w:rPr>
        <w:footnoteRef/>
      </w:r>
      <w:r>
        <w:t xml:space="preserve"> </w:t>
      </w:r>
      <w:r w:rsidRPr="00CB5BBA">
        <w:rPr>
          <w:rFonts w:ascii="Arial" w:hAnsi="Arial" w:cs="Arial"/>
        </w:rPr>
        <w:t>Реальными являются разработки, использ</w:t>
      </w:r>
      <w:r>
        <w:rPr>
          <w:rFonts w:ascii="Arial" w:hAnsi="Arial" w:cs="Arial"/>
        </w:rPr>
        <w:t>уемые</w:t>
      </w:r>
      <w:r w:rsidRPr="00CB5BBA">
        <w:rPr>
          <w:rFonts w:ascii="Arial" w:hAnsi="Arial" w:cs="Arial"/>
          <w:i/>
        </w:rPr>
        <w:t xml:space="preserve"> </w:t>
      </w:r>
      <w:r w:rsidRPr="00CB5BBA">
        <w:rPr>
          <w:rFonts w:ascii="Arial" w:hAnsi="Arial" w:cs="Arial"/>
        </w:rPr>
        <w:t>в учебном процессе.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E7A"/>
    <w:multiLevelType w:val="hybridMultilevel"/>
    <w:tmpl w:val="CE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24122"/>
    <w:multiLevelType w:val="hybridMultilevel"/>
    <w:tmpl w:val="FFB4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A55"/>
    <w:multiLevelType w:val="hybridMultilevel"/>
    <w:tmpl w:val="87042CD2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7288"/>
    <w:multiLevelType w:val="hybridMultilevel"/>
    <w:tmpl w:val="119E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2781D"/>
    <w:multiLevelType w:val="hybridMultilevel"/>
    <w:tmpl w:val="7A0A43AC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514BE"/>
    <w:multiLevelType w:val="hybridMultilevel"/>
    <w:tmpl w:val="EFBA6838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6A29"/>
    <w:multiLevelType w:val="hybridMultilevel"/>
    <w:tmpl w:val="0A3E5596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0394D"/>
    <w:multiLevelType w:val="hybridMultilevel"/>
    <w:tmpl w:val="1E20F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6252C"/>
    <w:multiLevelType w:val="hybridMultilevel"/>
    <w:tmpl w:val="A420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43D6E"/>
    <w:multiLevelType w:val="hybridMultilevel"/>
    <w:tmpl w:val="7EC26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446A6"/>
    <w:multiLevelType w:val="hybridMultilevel"/>
    <w:tmpl w:val="11E6EBDA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22D89"/>
    <w:multiLevelType w:val="hybridMultilevel"/>
    <w:tmpl w:val="38AE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B54BC"/>
    <w:multiLevelType w:val="hybridMultilevel"/>
    <w:tmpl w:val="09AEA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F7CB2"/>
    <w:multiLevelType w:val="hybridMultilevel"/>
    <w:tmpl w:val="1C3C71AC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9216A"/>
    <w:multiLevelType w:val="hybridMultilevel"/>
    <w:tmpl w:val="24AA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D2001"/>
    <w:multiLevelType w:val="hybridMultilevel"/>
    <w:tmpl w:val="DD4E7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3703A"/>
    <w:multiLevelType w:val="hybridMultilevel"/>
    <w:tmpl w:val="59E4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B1D61"/>
    <w:multiLevelType w:val="hybridMultilevel"/>
    <w:tmpl w:val="74DECB0E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F074A"/>
    <w:multiLevelType w:val="hybridMultilevel"/>
    <w:tmpl w:val="09BCF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5317A"/>
    <w:multiLevelType w:val="hybridMultilevel"/>
    <w:tmpl w:val="B5868B70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410AA"/>
    <w:multiLevelType w:val="hybridMultilevel"/>
    <w:tmpl w:val="ED463CFC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76179"/>
    <w:multiLevelType w:val="hybridMultilevel"/>
    <w:tmpl w:val="794A9924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A434E"/>
    <w:multiLevelType w:val="hybridMultilevel"/>
    <w:tmpl w:val="70642F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0229AC"/>
    <w:multiLevelType w:val="hybridMultilevel"/>
    <w:tmpl w:val="A67A30FC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637B2"/>
    <w:multiLevelType w:val="hybridMultilevel"/>
    <w:tmpl w:val="E16EFB9C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27CF4"/>
    <w:multiLevelType w:val="hybridMultilevel"/>
    <w:tmpl w:val="BD5C2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A47E8"/>
    <w:multiLevelType w:val="hybridMultilevel"/>
    <w:tmpl w:val="BE30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86338"/>
    <w:multiLevelType w:val="hybridMultilevel"/>
    <w:tmpl w:val="6D1A0AA8"/>
    <w:lvl w:ilvl="0" w:tplc="60424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A7F13"/>
    <w:multiLevelType w:val="hybridMultilevel"/>
    <w:tmpl w:val="A2DA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5"/>
  </w:num>
  <w:num w:numId="4">
    <w:abstractNumId w:val="8"/>
  </w:num>
  <w:num w:numId="5">
    <w:abstractNumId w:val="16"/>
  </w:num>
  <w:num w:numId="6">
    <w:abstractNumId w:val="17"/>
  </w:num>
  <w:num w:numId="7">
    <w:abstractNumId w:val="12"/>
  </w:num>
  <w:num w:numId="8">
    <w:abstractNumId w:val="9"/>
  </w:num>
  <w:num w:numId="9">
    <w:abstractNumId w:val="5"/>
  </w:num>
  <w:num w:numId="10">
    <w:abstractNumId w:val="21"/>
  </w:num>
  <w:num w:numId="11">
    <w:abstractNumId w:val="14"/>
  </w:num>
  <w:num w:numId="12">
    <w:abstractNumId w:val="2"/>
  </w:num>
  <w:num w:numId="13">
    <w:abstractNumId w:val="3"/>
  </w:num>
  <w:num w:numId="14">
    <w:abstractNumId w:val="26"/>
  </w:num>
  <w:num w:numId="15">
    <w:abstractNumId w:val="6"/>
  </w:num>
  <w:num w:numId="16">
    <w:abstractNumId w:val="0"/>
  </w:num>
  <w:num w:numId="17">
    <w:abstractNumId w:val="11"/>
  </w:num>
  <w:num w:numId="18">
    <w:abstractNumId w:val="28"/>
  </w:num>
  <w:num w:numId="19">
    <w:abstractNumId w:val="18"/>
  </w:num>
  <w:num w:numId="20">
    <w:abstractNumId w:val="27"/>
  </w:num>
  <w:num w:numId="21">
    <w:abstractNumId w:val="4"/>
  </w:num>
  <w:num w:numId="22">
    <w:abstractNumId w:val="19"/>
  </w:num>
  <w:num w:numId="23">
    <w:abstractNumId w:val="24"/>
  </w:num>
  <w:num w:numId="24">
    <w:abstractNumId w:val="15"/>
  </w:num>
  <w:num w:numId="25">
    <w:abstractNumId w:val="10"/>
  </w:num>
  <w:num w:numId="26">
    <w:abstractNumId w:val="20"/>
  </w:num>
  <w:num w:numId="27">
    <w:abstractNumId w:val="13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8B8"/>
    <w:rsid w:val="00034CAA"/>
    <w:rsid w:val="00066006"/>
    <w:rsid w:val="000678B5"/>
    <w:rsid w:val="00071E8B"/>
    <w:rsid w:val="00080ECA"/>
    <w:rsid w:val="00093104"/>
    <w:rsid w:val="0009610D"/>
    <w:rsid w:val="00097590"/>
    <w:rsid w:val="000A0A27"/>
    <w:rsid w:val="000B5CBC"/>
    <w:rsid w:val="000B7B37"/>
    <w:rsid w:val="000D5483"/>
    <w:rsid w:val="000D5743"/>
    <w:rsid w:val="000E4AB4"/>
    <w:rsid w:val="000F0A97"/>
    <w:rsid w:val="001237CE"/>
    <w:rsid w:val="00126227"/>
    <w:rsid w:val="00146B19"/>
    <w:rsid w:val="00155062"/>
    <w:rsid w:val="001565D6"/>
    <w:rsid w:val="001603A1"/>
    <w:rsid w:val="00170AC7"/>
    <w:rsid w:val="00177CEC"/>
    <w:rsid w:val="001D03BE"/>
    <w:rsid w:val="001D4AA0"/>
    <w:rsid w:val="002040C1"/>
    <w:rsid w:val="00253926"/>
    <w:rsid w:val="00257038"/>
    <w:rsid w:val="00266B9D"/>
    <w:rsid w:val="00275154"/>
    <w:rsid w:val="002C0A99"/>
    <w:rsid w:val="003061FC"/>
    <w:rsid w:val="00312A33"/>
    <w:rsid w:val="00313ED6"/>
    <w:rsid w:val="00314FFD"/>
    <w:rsid w:val="00330A6E"/>
    <w:rsid w:val="003617B5"/>
    <w:rsid w:val="003725F1"/>
    <w:rsid w:val="00374427"/>
    <w:rsid w:val="003744C4"/>
    <w:rsid w:val="003A69D4"/>
    <w:rsid w:val="003B52C8"/>
    <w:rsid w:val="003C3927"/>
    <w:rsid w:val="003D617F"/>
    <w:rsid w:val="003E2460"/>
    <w:rsid w:val="004618DF"/>
    <w:rsid w:val="0046562F"/>
    <w:rsid w:val="0048293F"/>
    <w:rsid w:val="004A08B8"/>
    <w:rsid w:val="004B0319"/>
    <w:rsid w:val="0051465B"/>
    <w:rsid w:val="00527B2E"/>
    <w:rsid w:val="005314FB"/>
    <w:rsid w:val="005319F5"/>
    <w:rsid w:val="00540EF5"/>
    <w:rsid w:val="00581FEC"/>
    <w:rsid w:val="00594194"/>
    <w:rsid w:val="005A3494"/>
    <w:rsid w:val="005B12D9"/>
    <w:rsid w:val="005C6510"/>
    <w:rsid w:val="00600510"/>
    <w:rsid w:val="0061798E"/>
    <w:rsid w:val="00627704"/>
    <w:rsid w:val="00636269"/>
    <w:rsid w:val="00650CA9"/>
    <w:rsid w:val="00670991"/>
    <w:rsid w:val="00682064"/>
    <w:rsid w:val="006960CC"/>
    <w:rsid w:val="006B425A"/>
    <w:rsid w:val="006C491E"/>
    <w:rsid w:val="006D5B32"/>
    <w:rsid w:val="006E5D9B"/>
    <w:rsid w:val="00712D6E"/>
    <w:rsid w:val="00730DD4"/>
    <w:rsid w:val="00732417"/>
    <w:rsid w:val="007338C8"/>
    <w:rsid w:val="00733BAD"/>
    <w:rsid w:val="00742542"/>
    <w:rsid w:val="00764D79"/>
    <w:rsid w:val="00791F19"/>
    <w:rsid w:val="007E23AD"/>
    <w:rsid w:val="007F63E7"/>
    <w:rsid w:val="00807C98"/>
    <w:rsid w:val="0081304D"/>
    <w:rsid w:val="00821681"/>
    <w:rsid w:val="00827FFA"/>
    <w:rsid w:val="008374A1"/>
    <w:rsid w:val="00845A2C"/>
    <w:rsid w:val="00864166"/>
    <w:rsid w:val="00871AB8"/>
    <w:rsid w:val="008849AA"/>
    <w:rsid w:val="008E1C01"/>
    <w:rsid w:val="008E580B"/>
    <w:rsid w:val="00943D59"/>
    <w:rsid w:val="00944834"/>
    <w:rsid w:val="00957FEF"/>
    <w:rsid w:val="00997FB1"/>
    <w:rsid w:val="009A21FD"/>
    <w:rsid w:val="009B35D0"/>
    <w:rsid w:val="009E5FB2"/>
    <w:rsid w:val="00A21253"/>
    <w:rsid w:val="00A22654"/>
    <w:rsid w:val="00A5366E"/>
    <w:rsid w:val="00A92D28"/>
    <w:rsid w:val="00AA736D"/>
    <w:rsid w:val="00AC145F"/>
    <w:rsid w:val="00AD3780"/>
    <w:rsid w:val="00AF5F15"/>
    <w:rsid w:val="00B02CE0"/>
    <w:rsid w:val="00B030D0"/>
    <w:rsid w:val="00B21E45"/>
    <w:rsid w:val="00B4367E"/>
    <w:rsid w:val="00B534AC"/>
    <w:rsid w:val="00B57CEE"/>
    <w:rsid w:val="00B71062"/>
    <w:rsid w:val="00B76915"/>
    <w:rsid w:val="00B862B4"/>
    <w:rsid w:val="00BA1B63"/>
    <w:rsid w:val="00BC0A71"/>
    <w:rsid w:val="00BC1334"/>
    <w:rsid w:val="00BE2B43"/>
    <w:rsid w:val="00C30BF0"/>
    <w:rsid w:val="00C409B6"/>
    <w:rsid w:val="00C61B83"/>
    <w:rsid w:val="00C71B1C"/>
    <w:rsid w:val="00C81E02"/>
    <w:rsid w:val="00CA55B3"/>
    <w:rsid w:val="00CB5BBA"/>
    <w:rsid w:val="00CD61AB"/>
    <w:rsid w:val="00D32E09"/>
    <w:rsid w:val="00D509A8"/>
    <w:rsid w:val="00D60CE6"/>
    <w:rsid w:val="00D7502A"/>
    <w:rsid w:val="00DA5879"/>
    <w:rsid w:val="00DC65EA"/>
    <w:rsid w:val="00E04915"/>
    <w:rsid w:val="00E62730"/>
    <w:rsid w:val="00E83B27"/>
    <w:rsid w:val="00E90048"/>
    <w:rsid w:val="00ED26CB"/>
    <w:rsid w:val="00EF0A52"/>
    <w:rsid w:val="00F03981"/>
    <w:rsid w:val="00F05446"/>
    <w:rsid w:val="00F12D9D"/>
    <w:rsid w:val="00F141C9"/>
    <w:rsid w:val="00F33124"/>
    <w:rsid w:val="00F65C17"/>
    <w:rsid w:val="00F84CAA"/>
    <w:rsid w:val="00F85BD1"/>
    <w:rsid w:val="00FB3A8F"/>
    <w:rsid w:val="00FC27B7"/>
    <w:rsid w:val="00FD5895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8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08B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B7B3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B7B3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B7B37"/>
    <w:rPr>
      <w:vertAlign w:val="superscript"/>
    </w:rPr>
  </w:style>
  <w:style w:type="table" w:styleId="a8">
    <w:name w:val="Table Grid"/>
    <w:basedOn w:val="a1"/>
    <w:uiPriority w:val="59"/>
    <w:rsid w:val="0009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2C1CA-D16E-44C8-B98C-888AF4FF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4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dcterms:created xsi:type="dcterms:W3CDTF">2016-12-09T09:21:00Z</dcterms:created>
  <dcterms:modified xsi:type="dcterms:W3CDTF">2017-07-25T17:47:00Z</dcterms:modified>
</cp:coreProperties>
</file>